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15" w:rsidRDefault="006D79A6" w:rsidP="002D4F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76A6E">
        <w:rPr>
          <w:rFonts w:ascii="Times New Roman" w:hAnsi="Times New Roman" w:cs="Times New Roman"/>
          <w:sz w:val="32"/>
          <w:szCs w:val="32"/>
        </w:rPr>
        <w:t xml:space="preserve">Доклад </w:t>
      </w:r>
      <w:r w:rsidR="005E2715">
        <w:rPr>
          <w:rFonts w:ascii="Times New Roman" w:hAnsi="Times New Roman" w:cs="Times New Roman"/>
          <w:sz w:val="32"/>
          <w:szCs w:val="32"/>
        </w:rPr>
        <w:t>начальника отдела информационной безопасности</w:t>
      </w:r>
    </w:p>
    <w:p w:rsidR="005E2715" w:rsidRDefault="005E2715" w:rsidP="002D4F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УФНС России по Ханты-Мансийскому автономному округу - Югре Долматовой Н.В. </w:t>
      </w:r>
    </w:p>
    <w:p w:rsidR="00B04558" w:rsidRDefault="005E2715" w:rsidP="002D4F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 «</w:t>
      </w:r>
      <w:r w:rsidR="00A20FBF" w:rsidRPr="00A20FBF">
        <w:rPr>
          <w:rFonts w:ascii="Times New Roman" w:hAnsi="Times New Roman" w:cs="Times New Roman"/>
          <w:sz w:val="32"/>
          <w:szCs w:val="32"/>
        </w:rPr>
        <w:t>Актуальные вопросы  использования электронной подписи в 2022 году</w:t>
      </w:r>
      <w:r w:rsidRPr="005E2715">
        <w:rPr>
          <w:rFonts w:ascii="Times New Roman" w:hAnsi="Times New Roman" w:cs="Times New Roman"/>
          <w:sz w:val="32"/>
          <w:szCs w:val="32"/>
        </w:rPr>
        <w:t>»</w:t>
      </w:r>
    </w:p>
    <w:p w:rsidR="005E2715" w:rsidRPr="00F76A6E" w:rsidRDefault="005E2715" w:rsidP="002D4F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4617" w:rsidRDefault="0072461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724617" w:rsidRDefault="0072461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1. </w:t>
      </w:r>
      <w:r w:rsidRPr="00724617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Основные изменения.</w:t>
      </w:r>
    </w:p>
    <w:p w:rsidR="00377E3D" w:rsidRPr="00377E3D" w:rsidRDefault="00F76A6E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F76A6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Напомню, что </w:t>
      </w:r>
      <w:r w:rsidR="00377E3D"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связи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 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вступившими в силу</w:t>
      </w:r>
      <w:r w:rsidR="00377E3D"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="00377E3D"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изменениями </w:t>
      </w:r>
      <w:r w:rsidRPr="00F76A6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Федерального закона от 06.04.2011 № 63-ФЗ «Об электронной подписи» (далее — 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з</w:t>
      </w:r>
      <w:r w:rsidRPr="00F76A6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акон № 63-ФЗ)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</w:t>
      </w:r>
      <w:r w:rsid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="00377E3D"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изменился порядок выдачи квалифицированного сертификата ключа проверки электронной подписи (далее – квалифицированный сертификат), а именно: </w:t>
      </w:r>
    </w:p>
    <w:p w:rsidR="00377E3D" w:rsidRPr="00377E3D" w:rsidRDefault="00377E3D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sym w:font="Symbol" w:char="F0B7"/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лица, уполномоченные на действия без доверенности от имени юридических лиц и индивидуальных предпринимателей, нотариусы и уполномоченные на совершение нотариальных действий лица (далее - нотариусы), получают квалифицированный сертификат в удостоверяющем центре ФНС России (далее – УЦ ФНС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России</w:t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). </w:t>
      </w:r>
    </w:p>
    <w:p w:rsidR="00377E3D" w:rsidRPr="00377E3D" w:rsidRDefault="00377E3D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sym w:font="Symbol" w:char="F0B7"/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лица, уполномоченные на действия без доверенности от имени кредитных организаций, операторов платежных систе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 и иных лиц, подведомственных</w:t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Центральному банку Российской Федерации, получают квалифицированный сертификат в удостоверяющем центре Банка России; </w:t>
      </w:r>
    </w:p>
    <w:p w:rsidR="00364A88" w:rsidRDefault="00377E3D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sym w:font="Symbol" w:char="F0B7"/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лица, замещающие государственные должности в любом органе власти</w:t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Российской Федерации, и работники организаций, подведомственных таким органам, получают квалифицированный сертификат в удостоверяющем центре Федерального казначейства.</w:t>
      </w:r>
    </w:p>
    <w:p w:rsidR="00364A88" w:rsidRDefault="00364A88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377E3D" w:rsidRDefault="00377E3D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Лица, получившие квалифицированные сертификаты не позднее 31 декабря 2021 года в удостоверяющих центрах, которые получили аккредитацию в соответствии с требованиями статьи 16 закона № 63-ФЗ после 01 июля 2020 года (далее – Коммерческие УЦ), вправе их использовать </w:t>
      </w:r>
      <w:r w:rsidRPr="00A20FBF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до</w:t>
      </w:r>
      <w:r w:rsidRPr="00A20FBF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 </w:t>
      </w:r>
      <w:r w:rsidRPr="00A20FBF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01</w:t>
      </w:r>
      <w:r w:rsidRPr="00A20FBF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 </w:t>
      </w:r>
      <w:r w:rsidRPr="00A20FBF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января 2023 года</w:t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. </w:t>
      </w:r>
      <w:proofErr w:type="gramStart"/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По истечению срока действия таких квалифицированных сертификатов за получением новых </w:t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квалифицированных сертификатов необходимо обращаться в соответствующие удостоверяющие центры, перечисленные выше</w:t>
      </w:r>
      <w:proofErr w:type="gramEnd"/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. Физические лица, получившие квалифицированный сертификат в </w:t>
      </w:r>
      <w:proofErr w:type="gramStart"/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Коммерческих</w:t>
      </w:r>
      <w:proofErr w:type="gramEnd"/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УЦ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</w:t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вправе его использовать до истечения его срока действия.</w:t>
      </w:r>
    </w:p>
    <w:p w:rsidR="00163F47" w:rsidRDefault="00163F4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Следует отметить, </w:t>
      </w:r>
      <w:r w:rsidR="00BD5D45" w:rsidRP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что применение сертификатов квалифицированной электронной подписи, созданных </w:t>
      </w:r>
      <w:r w:rsidR="00BD5D45" w:rsidRPr="00BD5D45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>Коммерческими УЦ</w:t>
      </w:r>
      <w:r w:rsidR="00BD5D45" w:rsidRP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</w:t>
      </w:r>
      <w:r w:rsidR="00BD5D45" w:rsidRPr="00BD5D45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 xml:space="preserve">не прошедшими аккредитацию </w:t>
      </w:r>
      <w:r w:rsidR="00BD5D45" w:rsidRP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по новым правилам, </w:t>
      </w:r>
      <w:r w:rsidR="00BD5D45" w:rsidRPr="00A20FBF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после 1 января 2022 года не допускается.</w:t>
      </w:r>
      <w:r w:rsidR="00BD5D45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 xml:space="preserve"> </w:t>
      </w:r>
      <w:r w:rsidR="0001230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</w:t>
      </w:r>
      <w:r w:rsidR="0001230A" w:rsidRPr="0001230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ереч</w:t>
      </w:r>
      <w:r w:rsidR="0001230A" w:rsidRPr="0001230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ень </w:t>
      </w:r>
      <w:r w:rsidR="0001230A" w:rsidRPr="0001230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аккредитованных удостоверяющих центров (далее – Реестр УЦ), в котором указана дата аккредитации удостоверяющего </w:t>
      </w:r>
      <w:r w:rsidR="0001230A" w:rsidRPr="0001230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центра после 1 июля 2020 года,  размещен</w:t>
      </w:r>
      <w:r w:rsidR="0001230A" w:rsidRPr="0001230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на официальном сайте Минцифры России по адресу https://clck.ru/FStza.</w:t>
      </w:r>
    </w:p>
    <w:p w:rsidR="00377E3D" w:rsidRDefault="00377E3D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proofErr w:type="gramStart"/>
      <w:r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Вместе с тем, положениями закона № 443-ФЗ</w:t>
      </w:r>
      <w:r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период с 01 января 2022 года  до 31 декабря 2022 года</w:t>
      </w:r>
      <w:r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включительно представителям по доверенности юридических лиц, индивидуальных предп</w:t>
      </w:r>
      <w:r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ринимателей</w:t>
      </w:r>
      <w:r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разре</w:t>
      </w:r>
      <w:r w:rsidR="0001230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шено получать в Коммерческих УЦ квалифицированный сертификат</w:t>
      </w:r>
      <w:r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 указанием в качестве владельца также физического лица, являющегося представителем юридического лица, представителем </w:t>
      </w:r>
      <w:r w:rsidR="00163F47"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индивидуального предпринимателя.</w:t>
      </w:r>
      <w:proofErr w:type="gramEnd"/>
      <w:r w:rsid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</w:t>
      </w:r>
      <w:r w:rsidR="0001230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рок</w:t>
      </w:r>
      <w:r w:rsidR="00163F47"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="00163F47"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действия таких сертификатов</w:t>
      </w:r>
      <w:r w:rsidR="0001230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="00163F47"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заканчивается </w:t>
      </w:r>
      <w:r w:rsidR="00163F47"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31 декабря 2022 года.</w:t>
      </w:r>
    </w:p>
    <w:p w:rsidR="0006000A" w:rsidRDefault="0001230A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Резюмируя вышесказанное, обращаю внимание, что 01 января 2023 года прекратят свое действие следующие </w:t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квалифицированные сертификаты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владельцами которых являются юридические лица и индивидуальные предприниматели:</w:t>
      </w:r>
    </w:p>
    <w:p w:rsidR="0001230A" w:rsidRDefault="0001230A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выпущенные до 01 января 2022 года Коммерческими УЦ, </w:t>
      </w:r>
      <w:r w:rsidRPr="00377E3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которые получили аккредитацию в соответствии с требованиями статьи 16 закона № 63-ФЗ после 01 июля 2020 года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  <w:proofErr w:type="gramEnd"/>
    </w:p>
    <w:p w:rsidR="0001230A" w:rsidRDefault="0001230A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выпускаемые </w:t>
      </w:r>
      <w:r w:rsid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 течение 2022 года </w:t>
      </w:r>
      <w:proofErr w:type="gramStart"/>
      <w:r w:rsid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Коммерческими</w:t>
      </w:r>
      <w:proofErr w:type="gramEnd"/>
      <w:r w:rsid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УЦ</w:t>
      </w:r>
      <w:r w:rsidR="00BD5D45"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представителям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="00BD5D45"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 доверенности</w:t>
      </w:r>
      <w:r w:rsid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(</w:t>
      </w:r>
      <w:r w:rsidR="00BD5D45" w:rsidRPr="00163F4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 указанием в качестве владельца также физического лица</w:t>
      </w:r>
      <w:r w:rsid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).</w:t>
      </w:r>
    </w:p>
    <w:p w:rsidR="00BD5D45" w:rsidRDefault="00BD5D45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06000A" w:rsidRDefault="0072461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2. </w:t>
      </w:r>
      <w:r w:rsidR="0006000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Порядок </w:t>
      </w:r>
      <w:r w:rsidR="0006000A" w:rsidRPr="0006000A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получения КЭП в УЦ ФНС России.</w:t>
      </w:r>
    </w:p>
    <w:p w:rsidR="00076778" w:rsidRDefault="000E3C42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Как нужно действовать? </w:t>
      </w:r>
    </w:p>
    <w:p w:rsidR="000E3C42" w:rsidRPr="000E3C42" w:rsidRDefault="000E3C42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ФНС России реализован функционал подачи заявления о выпуске к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люча электронной подписи </w:t>
      </w:r>
      <w:r w:rsidRPr="0072461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через </w:t>
      </w:r>
      <w:r w:rsid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интернет сервисы ФНС России: «</w:t>
      </w:r>
      <w:r w:rsidR="00BD5D45" w:rsidRP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Личный кабинет налогоплательщика – физического лица</w:t>
      </w:r>
      <w:r w:rsid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»,</w:t>
      </w:r>
      <w:r w:rsidR="00BD5D45" w:rsidRP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72461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«Личный кабинет </w:t>
      </w:r>
      <w:r w:rsidR="00187714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индивидуального предпринимателя» и «Личный кабинет юридического лица».</w:t>
      </w:r>
      <w:r w:rsidR="00CF043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После заполнения формы заявителю предлагается выбрать удобное место и время для визита в УЦ ФНС России. К моменту посещения заявителя его данные, указанные в электронном заявлении, уже будут верифицированы.</w:t>
      </w:r>
      <w:r w:rsidR="0007677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</w:p>
    <w:p w:rsidR="00A20FBF" w:rsidRPr="00B968BA" w:rsidRDefault="000E3C42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Кроме того, налогоплательщик может </w:t>
      </w:r>
      <w:r w:rsid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подготовить </w:t>
      </w: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заявление о получении квалифицированного сертификата ключа электронной подписи </w:t>
      </w:r>
      <w:r w:rsid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 помощью </w:t>
      </w: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своего оператора электронного документооборота.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Н</w:t>
      </w:r>
      <w:r w:rsidR="00A20FBF"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ачиная с 2022 года крупнейшие операторы электронного документооборота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(далее – Операторы ЭДО)</w:t>
      </w:r>
      <w:r w:rsidR="00A20FBF"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 ООО «Компания «Тензор», ООО «</w:t>
      </w:r>
      <w:proofErr w:type="spellStart"/>
      <w:r w:rsidR="00A20FBF"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Такском</w:t>
      </w:r>
      <w:proofErr w:type="spellEnd"/>
      <w:r w:rsidR="00A20FBF"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», АО «ПФ</w:t>
      </w:r>
      <w:proofErr w:type="gramStart"/>
      <w:r w:rsidR="00A20FBF"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«С</w:t>
      </w:r>
      <w:proofErr w:type="gramEnd"/>
      <w:r w:rsidR="00A20FBF"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КБ Контур»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</w:t>
      </w:r>
      <w:r w:rsidR="00A20FBF"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АО «КАЛУГА АСТРАЛ» 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оказывают </w:t>
      </w:r>
      <w:r w:rsidR="00A20FBF"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«пакет» платных услуг по подготовке к получению квалифицированных сертификатов  в УЦ ФНС России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в который входит</w:t>
      </w:r>
      <w:r w:rsidR="00A20FBF"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:</w:t>
      </w:r>
    </w:p>
    <w:p w:rsidR="00A20FBF" w:rsidRPr="00B968BA" w:rsidRDefault="00A20FBF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</w:t>
      </w:r>
      <w:r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предоставление сертифицированного носителя ключа электронной подписи и лицензии на использование программного обеспечения «</w:t>
      </w:r>
      <w:proofErr w:type="spellStart"/>
      <w:r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КриптоПро</w:t>
      </w:r>
      <w:proofErr w:type="spellEnd"/>
      <w:r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CSP»;</w:t>
      </w:r>
    </w:p>
    <w:p w:rsidR="00A20FBF" w:rsidRPr="00B968BA" w:rsidRDefault="00A20FBF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</w:t>
      </w:r>
      <w:r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подготовка запроса на выпуск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квалифицированного сертификата </w:t>
      </w:r>
      <w:r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(на основании предоставленного руководителем юридического лица или индивидуального предпринимателя пакета документов)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в том числе проверка сведений, предоставленных заявителем, </w:t>
      </w:r>
      <w:r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 использованием системы межведомственного электронного взаимодействия;</w:t>
      </w:r>
    </w:p>
    <w:p w:rsidR="00A20FBF" w:rsidRPr="00B968BA" w:rsidRDefault="00A20FBF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</w:t>
      </w:r>
      <w:r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оказание помощи при настройке рабочего места для работы с КСКПЭП;</w:t>
      </w:r>
    </w:p>
    <w:p w:rsidR="00A20FBF" w:rsidRDefault="00A20FBF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</w:t>
      </w:r>
      <w:r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регистрация КСКПЭП в программном обеспечении Оператора ЭДО для направления отчетности в электронном виде.</w:t>
      </w:r>
    </w:p>
    <w:p w:rsidR="00A20FBF" w:rsidRDefault="00A20FBF" w:rsidP="002D4F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После прохождения заявителем  предварительной подготовки, время на получение сертификата в налоговой инспекции сокращается до 5-7 минут. Также </w:t>
      </w:r>
      <w:r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исключаются случаи отказа в выдаче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сертификата</w:t>
      </w:r>
      <w:r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по причине несоответствия сведений заявителя, данным, содержащимся в информационных системах.</w:t>
      </w:r>
    </w:p>
    <w:p w:rsidR="00076778" w:rsidRDefault="00076778" w:rsidP="002D4F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07677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Мы рассчитываем, что эти меры позволят сделать заполнение и подачу заявления более удобными, минимизировать время ожидания в налоговом органе (все необходимые действия занимают 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 более</w:t>
      </w:r>
      <w:r w:rsidRPr="0007677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15 минут).</w:t>
      </w:r>
      <w:r w:rsid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Если  по каким-то причинам  предварительно заявление не будет подготовлено, его можно будет заполнить непосредственно в точке выдачи УЦ ФНС России.</w:t>
      </w:r>
    </w:p>
    <w:p w:rsidR="00E414E6" w:rsidRDefault="00E414E6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Государственная услуга по выдаче квалифицированного сертификата предоставляется в операционных залах налоговых органов </w:t>
      </w:r>
      <w:r w:rsidR="00BD5D4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 экстерриториальному принципу</w:t>
      </w:r>
      <w:r w:rsidR="00A20F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(вне зависимости от того в каком налоговом органе налогоплательщик состои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т на учете). </w:t>
      </w: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 перечнем таких подразделений, в которых расположены точки выдачи 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сертификатов</w:t>
      </w: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можно ознакомиться на сайте ФНС России в разделе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«</w:t>
      </w: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Удостоверяющий центр ФНС России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</w:t>
      </w: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 На странице «Порядок получения электронной подписи». На сегодня в этом списке свыше 700 территориальных налоговых органов. Заявитель может обратиться в люб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ое </w:t>
      </w: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из 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перечисленных подразделений</w:t>
      </w:r>
      <w:r w:rsidRPr="000E3C4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 Для удобства в перечне указан не только адрес, но и график работы подразделения.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На территории Ханты-Мансийского автономного округа - Югры действуют 11 точек выдачи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076778" w:rsidRDefault="00076778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Подчеркну, что в УЦ ФНС России следует обращаться только тем лицам, которые имеют право действовать без доверенности от имени организации, индивидуальным</w:t>
      </w:r>
      <w:r w:rsidR="00382143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предпринимателям и нотариусам. </w:t>
      </w:r>
    </w:p>
    <w:p w:rsidR="00C86677" w:rsidRPr="00C86677" w:rsidRDefault="00C8667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 01.01.2022 налоговые органы </w:t>
      </w:r>
      <w:r w:rsidRPr="00C8667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не выдают 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квалифицированные сертификаты 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для следующих юридических лиц, индивидуальных предпринимателей</w:t>
      </w:r>
      <w:r w:rsidRPr="00C8667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:</w:t>
      </w:r>
    </w:p>
    <w:p w:rsidR="00000000" w:rsidRPr="00C86677" w:rsidRDefault="00601FDF" w:rsidP="002D4F86">
      <w:pPr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для кредитных организаций, операторов платежных систем, </w:t>
      </w:r>
      <w:proofErr w:type="spellStart"/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некредитных</w:t>
      </w:r>
      <w:proofErr w:type="spellEnd"/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финансовых организаций и индивидуальных предпринимателей, осуществляющих указанные в части 1 статьи 76.1 Федерального закона от 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10.07.2002 года №86-ФЗ «О Центральном банке Российской Федерации (Банке России)» виды деятельности, должностных лиц Центрального банка Российской Федерации 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– 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сертификаты 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выд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ает УЦ Банка России;</w:t>
      </w:r>
    </w:p>
    <w:p w:rsidR="00000000" w:rsidRPr="00C86677" w:rsidRDefault="00601FDF" w:rsidP="002D4F86">
      <w:pPr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для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государственных органов, 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органов местного самоуправления, их подведомственных учреждений и иных организаций 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– 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сертификаты 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выдает УЦ Федерального Казначейства.</w:t>
      </w:r>
    </w:p>
    <w:p w:rsidR="003129BF" w:rsidRDefault="00076778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При выдаче квалифицированного сертификата, в первую очередь проводится идентификация заявителя. Поэтому необходимо предъявить основной документ, удостоверяющий личность, а также СНИЛС, свидетельство о присвоении ИНН (при наличии). Документы, удостоверяющие статус лица, имеющего право без доверенности действовать от имени организации, устав организации и другие подобные документы предъявлять не требуется, так как они уже имеются в системе налоговых органов.</w:t>
      </w:r>
      <w:r w:rsid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Допускается предоставление нотариально заверенных копий документов.</w:t>
      </w:r>
    </w:p>
    <w:p w:rsidR="003129BF" w:rsidRPr="003129BF" w:rsidRDefault="003129BF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Обращу ваше внимание, что при  первичном обращении в УЦ ФНС России для получения квалифицированного сертификата, обязательна явка лица, имеющего право без доверенности действовать от имени организации. Идентификация лица проводится в его личном присутствии с использованием основного документа, удостоверяющего личность. Никакой альтернативы в этом случае ни Закон № 63-ФЗ, ни нормативные правовые акты не предусматривают.</w:t>
      </w:r>
    </w:p>
    <w:p w:rsidR="003129BF" w:rsidRDefault="003129BF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 вот в дальнейшем, при перевыпуске сертификата на новый срок, можно будет воспользоваться удаленной идентификацией с применением информационных технологий, обеспечивающих обработку,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И тогда личное присутствие руководителя организации в точке выдачи становится необязательным.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Реализация сервиса для выполнения данного функционала запланирована в 2022 году.</w:t>
      </w:r>
    </w:p>
    <w:p w:rsidR="006901A7" w:rsidRDefault="00E414E6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Кроме документов для записи квалифицированного сертификата необходимо предоставить </w:t>
      </w:r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носитель ключевой информации, сертифицированный ФСТЭК России или ФСБ России. УЦ ФНС России поддерживает носители формата USB (типа А), в частности </w:t>
      </w:r>
      <w:proofErr w:type="spellStart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Рутокен</w:t>
      </w:r>
      <w:proofErr w:type="spellEnd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ЭЦП 2.0, </w:t>
      </w:r>
      <w:proofErr w:type="spellStart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Рутокен</w:t>
      </w:r>
      <w:proofErr w:type="spellEnd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S, </w:t>
      </w:r>
      <w:proofErr w:type="spellStart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Рутокен</w:t>
      </w:r>
      <w:proofErr w:type="spellEnd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proofErr w:type="spellStart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Lite</w:t>
      </w:r>
      <w:proofErr w:type="spellEnd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</w:t>
      </w:r>
      <w:proofErr w:type="spellStart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JaCarta</w:t>
      </w:r>
      <w:proofErr w:type="spellEnd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ГОСТ, JaCarta-2 ГОСТ, </w:t>
      </w:r>
      <w:proofErr w:type="spellStart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JaCarta</w:t>
      </w:r>
      <w:proofErr w:type="spellEnd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LT, ESMART </w:t>
      </w:r>
      <w:proofErr w:type="spellStart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Token</w:t>
      </w:r>
      <w:proofErr w:type="spellEnd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ESMART </w:t>
      </w:r>
      <w:proofErr w:type="spellStart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Token</w:t>
      </w:r>
      <w:proofErr w:type="spellEnd"/>
      <w:r w:rsidR="00076778"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ГОСТ, соответствующие установленным требованиям. </w:t>
      </w:r>
    </w:p>
    <w:p w:rsidR="00C86677" w:rsidRPr="00C86677" w:rsidRDefault="00C8667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86677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>Сертифицированный носитель ключевой информации (</w:t>
      </w:r>
      <w:proofErr w:type="spellStart"/>
      <w:r w:rsidRPr="00C86677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>токен</w:t>
      </w:r>
      <w:proofErr w:type="spellEnd"/>
      <w:r w:rsidRPr="00C86677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 xml:space="preserve">, ключевой носитель) 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USB-устройство, </w:t>
      </w:r>
      <w:proofErr w:type="gramStart"/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которое</w:t>
      </w:r>
      <w:proofErr w:type="gramEnd"/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имеет </w:t>
      </w:r>
      <w:r w:rsidRPr="00C86677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>действительный сертификат соответствия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выданный ФСТЭК России или ФСБ России, и предназначенное для </w:t>
      </w:r>
      <w:r w:rsidRPr="00C86677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 xml:space="preserve">защищенного хранения 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ключей шифрования и ключей электронной подписи, цифровых сертификатов, паролей и иной информации, а также </w:t>
      </w:r>
      <w:r w:rsidRPr="00C86677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>для защиты персональных данных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и </w:t>
      </w:r>
      <w:r w:rsidRPr="00C86677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>защиты от несанкционированного доступа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 Может использоваться для выполнения шифрования и электронной подписи в самом устройстве. Не нужно путать с «</w:t>
      </w:r>
      <w:proofErr w:type="spellStart"/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флешками</w:t>
      </w:r>
      <w:proofErr w:type="spellEnd"/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». Хранение ключей ЭП на </w:t>
      </w:r>
      <w:proofErr w:type="spellStart"/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токене</w:t>
      </w:r>
      <w:proofErr w:type="spellEnd"/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практически </w:t>
      </w:r>
      <w:r w:rsidRPr="00C86677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ru-RU"/>
        </w:rPr>
        <w:t xml:space="preserve">исключает риски 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несанкционированного доступа к ключевой информации.</w:t>
      </w:r>
    </w:p>
    <w:p w:rsidR="00C86677" w:rsidRDefault="00C8667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Сертифицированные носители ключевой информации можно приобрести у производителей, их партнеров и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 </w:t>
      </w:r>
      <w:r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специализированных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магазинах,</w:t>
      </w:r>
      <w:r w:rsidRP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а также у операторо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 электронного документооборота. В ИФНС по г. Сургуту установлен </w:t>
      </w:r>
      <w:proofErr w:type="spellStart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вендинговый</w:t>
      </w:r>
      <w:proofErr w:type="spellEnd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аппарат и  </w:t>
      </w:r>
      <w:proofErr w:type="gramStart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приобрести</w:t>
      </w:r>
      <w:proofErr w:type="gramEnd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 сертифицированный носитель можно самостоятельно непосредственно в операционном зале. </w:t>
      </w:r>
      <w:r w:rsidRPr="00E414E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Кроме того, можно использовать уже имеющиеся у заявителя носители при условии их соответствия вышеназванным требованиям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6901A7" w:rsidRPr="005E7E34" w:rsidRDefault="006901A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901A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Основаниями для отказа</w:t>
      </w:r>
      <w:r w:rsidRPr="005E7E34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в предоставлении услуги по выпуску квалифицированных сертификатов ключей проверки электронной подписи </w:t>
      </w:r>
      <w:r w:rsidRPr="006901A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являются:</w:t>
      </w:r>
    </w:p>
    <w:p w:rsidR="006901A7" w:rsidRPr="005E7E34" w:rsidRDefault="006901A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</w:t>
      </w:r>
      <w:r w:rsidRPr="005E7E34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отсутствие документа, удостоверяющего личность Заявителя, СНИЛС или отказ Заявителя предъявить должностному лицу структурного подразделения территориального налогового органа (далее – ТНО) данные документы;</w:t>
      </w:r>
    </w:p>
    <w:p w:rsidR="006901A7" w:rsidRPr="005E7E34" w:rsidRDefault="006901A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</w:t>
      </w:r>
      <w:r w:rsidRPr="005E7E34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несоответствие данных в представленных Заявителем документах с данными, содержащимися в информационных ресурсах;</w:t>
      </w:r>
    </w:p>
    <w:p w:rsidR="006901A7" w:rsidRPr="005E7E34" w:rsidRDefault="006901A7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- </w:t>
      </w:r>
      <w:r w:rsidRPr="005E7E34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отсутствие носителя ключей электронной подписи для записи ключей электронной подписи, неработоспособность носителя ключей электронной подписи, </w:t>
      </w:r>
      <w:proofErr w:type="gramStart"/>
      <w:r w:rsidRPr="005E7E34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 соответствие</w:t>
      </w:r>
      <w:proofErr w:type="gramEnd"/>
      <w:r w:rsidRPr="005E7E34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носителя ключей электронной подписи предъявляемым требованиям.</w:t>
      </w:r>
    </w:p>
    <w:p w:rsidR="002D4F86" w:rsidRDefault="002E4384" w:rsidP="00315C39">
      <w:pPr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901A7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В результате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 вы получаете </w:t>
      </w:r>
      <w:proofErr w:type="spellStart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неэкспортируемый</w:t>
      </w:r>
      <w:proofErr w:type="spellEnd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квалифицированный сертификат</w:t>
      </w:r>
      <w:r w:rsidRPr="001D5A8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ключа электронной подписи</w:t>
      </w:r>
      <w:r w:rsidR="002D4F8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со  сроком действия 15 </w:t>
      </w:r>
      <w:r w:rsid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месяцев</w:t>
      </w:r>
      <w:proofErr w:type="gramStart"/>
      <w:r w:rsid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  <w:proofErr w:type="gramEnd"/>
      <w:r w:rsid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На носитель ключевой информации записывается ключ электронной подписи, ключ проверки электронной подписи, на бумажном носителе выдается к</w:t>
      </w:r>
      <w:r w:rsidR="00315C39"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валифицированный сертификат ключа проверки </w:t>
      </w:r>
      <w:r w:rsid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электронной подписи.</w:t>
      </w:r>
    </w:p>
    <w:p w:rsidR="00315C39" w:rsidRDefault="00315C39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Обращаю внимание, что в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соответствии с пунктом 19 Порядка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реализации ФНС России  функций аккредитованного удостоверяющего центра, утвержденным приказом ФНС России от 30.12.2020 № ВД-7-24/982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@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у каждого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юридического лица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индивидуального предпринимателя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и нотариуса допускается наличие одного действующего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сертификата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выданного УЦ ФНС России, за исключением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сертификатов о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ператоров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информационных систем. При этом, в случае, если з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аявитель выступает от имени нескольких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юридических лиц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как лицо, имеющее право действовать без доверенности от имени указанных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организаций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сертификат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выданный на его имя ранее на другое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юридическое лицо</w:t>
      </w:r>
      <w:r w:rsidRP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не отзывается</w:t>
      </w:r>
    </w:p>
    <w:p w:rsidR="002E4384" w:rsidRDefault="002E4384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proofErr w:type="spellStart"/>
      <w:r w:rsidRPr="002E4384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Неотчуждаемость</w:t>
      </w:r>
      <w:proofErr w:type="spellEnd"/>
      <w:r w:rsidRPr="002E4384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ключа электронной подписи, позволит исключить широкую практику передачи ключа, выпущенного на имя руководителя организации, другим сотрудникам и третьим лицам, что, по сути, ведет к компрометации всего электронного документооборота.</w:t>
      </w:r>
    </w:p>
    <w:p w:rsidR="00315C39" w:rsidRDefault="002E4384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Следует упомянуть об институте Доверенных лиц УЦ ФНС России</w:t>
      </w:r>
      <w:r w:rsidR="003129BF"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  <w:r w:rsid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Закон № 63-ФЗ позволяет УЦ ФНС России прибегать к помощи доверенных лиц.</w:t>
      </w:r>
      <w:r w:rsid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Это прошедшие специальный отбор аккредитованные УЦ, которые наделяются полномочиями по приему заявлений о выдаче квалифицированных сертификатов ключа электронной подписи с последующей их выдачей от имени УЦ ФНС России.</w:t>
      </w:r>
    </w:p>
    <w:p w:rsidR="00C86677" w:rsidRDefault="002E4384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5E2715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О б </w:t>
      </w:r>
      <w:proofErr w:type="gramStart"/>
      <w:r w:rsidRPr="005E2715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р</w:t>
      </w:r>
      <w:proofErr w:type="gramEnd"/>
      <w:r w:rsidRPr="005E2715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 а т и т е  в н и м а н и е</w:t>
      </w:r>
      <w:r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: речь идет именно о сертификатах УЦ ФНС России; доверенное лицо лишь наделено соответствующим функционалом и действует в этих отношениях от имени УЦ ФНС России. </w:t>
      </w:r>
      <w:r w:rsid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</w:t>
      </w:r>
      <w:r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настоящее время принято решение о признании до</w:t>
      </w:r>
      <w:r w:rsid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веренными лицами ПАО «Сбербанк»</w:t>
      </w:r>
      <w:r w:rsidR="003129BF"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ПАО  </w:t>
      </w:r>
      <w:r w:rsidR="003129BF" w:rsidRPr="0052454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«</w:t>
      </w:r>
      <w:r w:rsidR="00524548" w:rsidRPr="0052454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Банк </w:t>
      </w:r>
      <w:r w:rsidR="003129BF" w:rsidRPr="0052454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ВТБ» и</w:t>
      </w:r>
      <w:r w:rsid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УЦ «Основание» (АО «Аналитический Центр»</w:t>
      </w:r>
      <w:r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)</w:t>
      </w:r>
      <w:r w:rsid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  <w:r w:rsid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На территории округа функционал по идентификации личности заявителя, </w:t>
      </w:r>
      <w:r w:rsidR="00C86677" w:rsidRPr="003129B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приему заявлений о выдаче квалифицированных сертификатов ключа электронной подписи с последующей их выдачей от имени УЦ ФНС России</w:t>
      </w:r>
      <w:r w:rsid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выполняет </w:t>
      </w:r>
      <w:r w:rsid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ПАО «Сбербанк»</w:t>
      </w:r>
      <w:r w:rsid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во всех отделениях </w:t>
      </w:r>
      <w:r w:rsid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 обслуживанию юридических лиц. Ж</w:t>
      </w:r>
      <w:r w:rsid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ители населенных пунктов, в которых нет точек выдачи ФНС России</w:t>
      </w:r>
      <w:r w:rsid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</w:t>
      </w:r>
      <w:r w:rsid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могут обращаться за получением  с</w:t>
      </w:r>
      <w:r w:rsid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</w:t>
      </w:r>
      <w:r w:rsidR="00C866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ртификатов в отделения ПАО</w:t>
      </w:r>
      <w:r w:rsid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«Сбербанк».</w:t>
      </w:r>
    </w:p>
    <w:p w:rsidR="00601FDF" w:rsidRDefault="00A20FBF" w:rsidP="00C46D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Завершая свой доклад, хочу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привлечь всех участников </w:t>
      </w:r>
      <w:r w:rsidR="00601FD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сегодняшнего мероприятия</w:t>
      </w:r>
      <w:r w:rsidR="00315C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ЗАРАНЕЕ, до наступления сроков массового предоставления </w:t>
      </w:r>
      <w:r w:rsidR="00C46DF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налоговой и бухгалтерской отче</w:t>
      </w:r>
      <w:r w:rsidR="00601FD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тности  позаботиться о выпуске </w:t>
      </w:r>
      <w:r w:rsidR="00C46DF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квалифицированных сертификатов в УЦ ФНС России. Это позволит вам снизить риски несвоевременного получения сертификата </w:t>
      </w:r>
      <w:r w:rsidR="00C46DFE" w:rsidRPr="00B968B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 причине несоответствия сведений заявителя, данным, содержащ</w:t>
      </w:r>
      <w:r w:rsidR="00C46DF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имся в информационных системах. Призываю всех, у кого срок действия сертификатов заканчивается в 2022 году, не дожида</w:t>
      </w:r>
      <w:r w:rsidR="00601FD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ясь</w:t>
      </w:r>
      <w:r w:rsidR="00C46DF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декабря заранее получить квалифицированный сертификат в УЦ ФНС России</w:t>
      </w:r>
      <w:r w:rsidR="00601FD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</w:t>
      </w:r>
      <w:r w:rsidR="00C46DF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и в дальнейшем</w:t>
      </w:r>
      <w:r w:rsidR="00601FD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</w:t>
      </w:r>
      <w:r w:rsidR="00C46DF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осуществлять его продление без визита в </w:t>
      </w:r>
      <w:r w:rsidR="00601FD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налоговую инспекцию</w:t>
      </w:r>
      <w:r w:rsidR="00C46DF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 использованием</w:t>
      </w:r>
      <w:r w:rsidR="00601FD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интернет сервиса ФНС России.</w:t>
      </w:r>
    </w:p>
    <w:p w:rsidR="00C46DFE" w:rsidRDefault="00601FDF" w:rsidP="00601FD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Приглашаем заявителей для получения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квалифицированных сертификатов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УЦ ФНС России! </w:t>
      </w:r>
    </w:p>
    <w:p w:rsidR="00B968BA" w:rsidRDefault="00B968BA" w:rsidP="002D4F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bookmarkStart w:id="0" w:name="_GoBack"/>
      <w:bookmarkEnd w:id="0"/>
    </w:p>
    <w:sectPr w:rsidR="00B968BA" w:rsidSect="00F76A6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13"/>
    <w:multiLevelType w:val="multilevel"/>
    <w:tmpl w:val="F346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D7194"/>
    <w:multiLevelType w:val="hybridMultilevel"/>
    <w:tmpl w:val="1FDA3F64"/>
    <w:lvl w:ilvl="0" w:tplc="73389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03B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C12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4C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D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0B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0D8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64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CC3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D8532F"/>
    <w:multiLevelType w:val="hybridMultilevel"/>
    <w:tmpl w:val="892CE252"/>
    <w:lvl w:ilvl="0" w:tplc="275668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E70D72"/>
    <w:multiLevelType w:val="hybridMultilevel"/>
    <w:tmpl w:val="DC9CF0D2"/>
    <w:lvl w:ilvl="0" w:tplc="482E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27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C8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20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AA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2F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EE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E2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E3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E71B6"/>
    <w:multiLevelType w:val="hybridMultilevel"/>
    <w:tmpl w:val="EE04B806"/>
    <w:lvl w:ilvl="0" w:tplc="7130A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A6"/>
    <w:rsid w:val="0001230A"/>
    <w:rsid w:val="0006000A"/>
    <w:rsid w:val="00076778"/>
    <w:rsid w:val="000E3C42"/>
    <w:rsid w:val="00163F47"/>
    <w:rsid w:val="00187714"/>
    <w:rsid w:val="001D5A89"/>
    <w:rsid w:val="00235737"/>
    <w:rsid w:val="002D4F86"/>
    <w:rsid w:val="002E4384"/>
    <w:rsid w:val="003129BF"/>
    <w:rsid w:val="00315C39"/>
    <w:rsid w:val="00364A88"/>
    <w:rsid w:val="00377E3D"/>
    <w:rsid w:val="00382143"/>
    <w:rsid w:val="0039426E"/>
    <w:rsid w:val="00521E41"/>
    <w:rsid w:val="00524548"/>
    <w:rsid w:val="0054474C"/>
    <w:rsid w:val="005E2715"/>
    <w:rsid w:val="00601FDF"/>
    <w:rsid w:val="006901A7"/>
    <w:rsid w:val="006D79A6"/>
    <w:rsid w:val="0071799B"/>
    <w:rsid w:val="00723A08"/>
    <w:rsid w:val="00724617"/>
    <w:rsid w:val="007307CF"/>
    <w:rsid w:val="00800B5E"/>
    <w:rsid w:val="00872BDB"/>
    <w:rsid w:val="00912260"/>
    <w:rsid w:val="00A15EE1"/>
    <w:rsid w:val="00A20FBF"/>
    <w:rsid w:val="00B04558"/>
    <w:rsid w:val="00B968BA"/>
    <w:rsid w:val="00BD5D45"/>
    <w:rsid w:val="00C14BA2"/>
    <w:rsid w:val="00C46DFE"/>
    <w:rsid w:val="00C86677"/>
    <w:rsid w:val="00CF043C"/>
    <w:rsid w:val="00D50C6F"/>
    <w:rsid w:val="00D618A4"/>
    <w:rsid w:val="00E22031"/>
    <w:rsid w:val="00E414E6"/>
    <w:rsid w:val="00E726F9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07C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1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07C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1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73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7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5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ufns8600</dc:creator>
  <cp:lastModifiedBy>Долматова Наталья Владимировна</cp:lastModifiedBy>
  <cp:revision>2</cp:revision>
  <dcterms:created xsi:type="dcterms:W3CDTF">2022-03-03T06:33:00Z</dcterms:created>
  <dcterms:modified xsi:type="dcterms:W3CDTF">2022-03-03T06:33:00Z</dcterms:modified>
</cp:coreProperties>
</file>